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37DAD" w14:textId="77777777" w:rsidR="00D01ADF" w:rsidRDefault="00000000">
      <w:pPr>
        <w:pStyle w:val="Corpo"/>
        <w:tabs>
          <w:tab w:val="left" w:pos="900"/>
        </w:tabs>
        <w:spacing w:before="105" w:after="105" w:line="360" w:lineRule="auto"/>
        <w:jc w:val="both"/>
        <w:rPr>
          <w:rFonts w:ascii="Arial" w:eastAsia="Arial" w:hAnsi="Arial" w:cs="Arial"/>
          <w:b/>
          <w:bCs/>
          <w:sz w:val="24"/>
          <w:szCs w:val="24"/>
          <w:u w:color="000000"/>
        </w:rPr>
      </w:pPr>
      <w:r>
        <w:rPr>
          <w:rFonts w:ascii="Arial" w:hAnsi="Arial"/>
          <w:b/>
          <w:bCs/>
          <w:sz w:val="24"/>
          <w:szCs w:val="24"/>
          <w:u w:color="000000"/>
        </w:rPr>
        <w:t>Progetto operativo per la gestione dell’annata silvana 2025/2026 nei terreni gravati da uso civico del Comune di Pattada</w:t>
      </w:r>
      <w:r>
        <w:rPr>
          <w:rFonts w:ascii="Arial" w:hAnsi="Arial"/>
          <w:b/>
          <w:bCs/>
          <w:sz w:val="24"/>
          <w:szCs w:val="24"/>
          <w:u w:color="000000"/>
          <w:lang w:val="en-US"/>
        </w:rPr>
        <w:t xml:space="preserve"> </w:t>
      </w:r>
      <w:proofErr w:type="gramStart"/>
      <w:r>
        <w:rPr>
          <w:rFonts w:ascii="Arial" w:hAnsi="Arial"/>
          <w:b/>
          <w:bCs/>
          <w:sz w:val="24"/>
          <w:szCs w:val="24"/>
          <w:u w:color="000000"/>
          <w:lang w:val="en-US"/>
        </w:rPr>
        <w:t xml:space="preserve">( </w:t>
      </w:r>
      <w:proofErr w:type="spellStart"/>
      <w:r>
        <w:rPr>
          <w:rFonts w:ascii="Arial" w:hAnsi="Arial"/>
          <w:b/>
          <w:bCs/>
          <w:sz w:val="24"/>
          <w:szCs w:val="24"/>
          <w:u w:color="000000"/>
        </w:rPr>
        <w:t>Loc</w:t>
      </w:r>
      <w:proofErr w:type="spellEnd"/>
      <w:proofErr w:type="gramEnd"/>
      <w:r>
        <w:rPr>
          <w:rFonts w:ascii="Arial" w:hAnsi="Arial"/>
          <w:b/>
          <w:bCs/>
          <w:sz w:val="24"/>
          <w:szCs w:val="24"/>
          <w:u w:color="000000"/>
        </w:rPr>
        <w:t xml:space="preserve"> </w:t>
      </w:r>
      <w:r>
        <w:rPr>
          <w:rFonts w:ascii="Arial" w:hAnsi="Arial"/>
          <w:b/>
          <w:bCs/>
          <w:sz w:val="24"/>
          <w:szCs w:val="24"/>
          <w:u w:color="000000"/>
          <w:rtl/>
          <w:lang w:val="ar-SA"/>
        </w:rPr>
        <w:t>“</w:t>
      </w:r>
      <w:proofErr w:type="spellStart"/>
      <w:r>
        <w:rPr>
          <w:rFonts w:ascii="Arial" w:hAnsi="Arial"/>
          <w:b/>
          <w:bCs/>
          <w:sz w:val="24"/>
          <w:szCs w:val="24"/>
          <w:u w:color="000000"/>
        </w:rPr>
        <w:t>Coas</w:t>
      </w:r>
      <w:proofErr w:type="spellEnd"/>
      <w:r>
        <w:rPr>
          <w:rFonts w:ascii="Arial" w:hAnsi="Arial"/>
          <w:b/>
          <w:bCs/>
          <w:sz w:val="24"/>
          <w:szCs w:val="24"/>
          <w:u w:color="000000"/>
        </w:rPr>
        <w:t xml:space="preserve"> de </w:t>
      </w:r>
      <w:proofErr w:type="spellStart"/>
      <w:r>
        <w:rPr>
          <w:rFonts w:ascii="Arial" w:hAnsi="Arial"/>
          <w:b/>
          <w:bCs/>
          <w:sz w:val="24"/>
          <w:szCs w:val="24"/>
          <w:u w:color="000000"/>
        </w:rPr>
        <w:t>tene</w:t>
      </w:r>
      <w:proofErr w:type="spellEnd"/>
      <w:proofErr w:type="gramStart"/>
      <w:r>
        <w:rPr>
          <w:rFonts w:ascii="Arial" w:hAnsi="Arial"/>
          <w:b/>
          <w:bCs/>
          <w:sz w:val="24"/>
          <w:szCs w:val="24"/>
          <w:u w:color="000000"/>
        </w:rPr>
        <w:t xml:space="preserve">-  </w:t>
      </w:r>
      <w:proofErr w:type="spellStart"/>
      <w:r>
        <w:rPr>
          <w:rFonts w:ascii="Arial" w:hAnsi="Arial"/>
          <w:b/>
          <w:bCs/>
          <w:sz w:val="24"/>
          <w:szCs w:val="24"/>
          <w:u w:color="000000"/>
        </w:rPr>
        <w:t>Renosu</w:t>
      </w:r>
      <w:proofErr w:type="spellEnd"/>
      <w:proofErr w:type="gramEnd"/>
      <w:r>
        <w:rPr>
          <w:rFonts w:ascii="Arial" w:hAnsi="Arial"/>
          <w:b/>
          <w:bCs/>
          <w:sz w:val="24"/>
          <w:szCs w:val="24"/>
          <w:u w:color="000000"/>
        </w:rPr>
        <w:t>, Foglio 58, mappale 7), con delimitazione, assegnazione e controllo dei lotti e conclusione delle operazioni di taglio e asporto entro il 15 aprile 2026.</w:t>
      </w:r>
      <w:r>
        <w:rPr>
          <w:rFonts w:ascii="Arial" w:eastAsia="Arial" w:hAnsi="Arial" w:cs="Arial"/>
          <w:b/>
          <w:bCs/>
          <w:noProof/>
          <w:sz w:val="24"/>
          <w:szCs w:val="24"/>
          <w:u w:color="000000"/>
        </w:rPr>
        <w:drawing>
          <wp:anchor distT="152400" distB="152400" distL="152400" distR="152400" simplePos="0" relativeHeight="251659264" behindDoc="0" locked="0" layoutInCell="1" allowOverlap="1" wp14:anchorId="272FBA17" wp14:editId="6D02D786">
            <wp:simplePos x="0" y="0"/>
            <wp:positionH relativeFrom="margin">
              <wp:posOffset>-6349</wp:posOffset>
            </wp:positionH>
            <wp:positionV relativeFrom="line">
              <wp:posOffset>284648</wp:posOffset>
            </wp:positionV>
            <wp:extent cx="6038850" cy="3009460"/>
            <wp:effectExtent l="0" t="0" r="0" b="0"/>
            <wp:wrapThrough wrapText="bothSides" distL="152400" distR="152400">
              <wp:wrapPolygon edited="1">
                <wp:start x="0" y="0"/>
                <wp:lineTo x="21600" y="0"/>
                <wp:lineTo x="21600" y="21600"/>
                <wp:lineTo x="0" y="21600"/>
                <wp:lineTo x="0" y="0"/>
              </wp:wrapPolygon>
            </wp:wrapThrough>
            <wp:docPr id="1073741825" name="officeArt object" descr="Immagine"/>
            <wp:cNvGraphicFramePr/>
            <a:graphic xmlns:a="http://schemas.openxmlformats.org/drawingml/2006/main">
              <a:graphicData uri="http://schemas.openxmlformats.org/drawingml/2006/picture">
                <pic:pic xmlns:pic="http://schemas.openxmlformats.org/drawingml/2006/picture">
                  <pic:nvPicPr>
                    <pic:cNvPr id="1073741825" name="Immagine" descr="Immagine"/>
                    <pic:cNvPicPr>
                      <a:picLocks noChangeAspect="1"/>
                    </pic:cNvPicPr>
                  </pic:nvPicPr>
                  <pic:blipFill>
                    <a:blip r:embed="rId7"/>
                    <a:stretch>
                      <a:fillRect/>
                    </a:stretch>
                  </pic:blipFill>
                  <pic:spPr>
                    <a:xfrm>
                      <a:off x="0" y="0"/>
                      <a:ext cx="6038850" cy="3009460"/>
                    </a:xfrm>
                    <a:prstGeom prst="rect">
                      <a:avLst/>
                    </a:prstGeom>
                    <a:ln w="12700" cap="flat">
                      <a:noFill/>
                      <a:miter lim="400000"/>
                    </a:ln>
                    <a:effectLst/>
                  </pic:spPr>
                </pic:pic>
              </a:graphicData>
            </a:graphic>
          </wp:anchor>
        </w:drawing>
      </w:r>
    </w:p>
    <w:p w14:paraId="12194DF6" w14:textId="77777777" w:rsidR="00D01ADF" w:rsidRDefault="00D01ADF">
      <w:pPr>
        <w:pStyle w:val="Corpo"/>
        <w:tabs>
          <w:tab w:val="left" w:pos="900"/>
        </w:tabs>
        <w:spacing w:before="105" w:after="105" w:line="360" w:lineRule="auto"/>
        <w:jc w:val="both"/>
        <w:rPr>
          <w:rFonts w:ascii="Arial" w:eastAsia="Arial" w:hAnsi="Arial" w:cs="Arial"/>
          <w:b/>
          <w:bCs/>
          <w:sz w:val="24"/>
          <w:szCs w:val="24"/>
          <w:u w:color="000000"/>
        </w:rPr>
      </w:pPr>
    </w:p>
    <w:p w14:paraId="6FD0905C" w14:textId="77777777" w:rsidR="00D01ADF" w:rsidRDefault="00000000">
      <w:pPr>
        <w:pStyle w:val="Corpo"/>
        <w:tabs>
          <w:tab w:val="left" w:pos="900"/>
        </w:tabs>
        <w:spacing w:before="105" w:after="105" w:line="360" w:lineRule="auto"/>
        <w:jc w:val="both"/>
        <w:rPr>
          <w:rFonts w:ascii="Arial" w:eastAsia="Arial" w:hAnsi="Arial" w:cs="Arial"/>
          <w:sz w:val="24"/>
          <w:szCs w:val="24"/>
          <w:u w:color="000000"/>
        </w:rPr>
      </w:pPr>
      <w:r>
        <w:rPr>
          <w:rFonts w:ascii="Arial" w:hAnsi="Arial"/>
          <w:b/>
          <w:bCs/>
          <w:sz w:val="24"/>
          <w:szCs w:val="24"/>
          <w:u w:color="000000"/>
        </w:rPr>
        <w:t>Riferimenti normativi principali:</w:t>
      </w:r>
    </w:p>
    <w:p w14:paraId="2F3F09E4" w14:textId="77777777" w:rsidR="00D01ADF" w:rsidRDefault="00000000">
      <w:pPr>
        <w:pStyle w:val="Corpo"/>
        <w:numPr>
          <w:ilvl w:val="1"/>
          <w:numId w:val="2"/>
        </w:numPr>
        <w:spacing w:before="105" w:after="105" w:line="360" w:lineRule="auto"/>
        <w:jc w:val="both"/>
        <w:rPr>
          <w:rFonts w:ascii="Arial" w:hAnsi="Arial"/>
          <w:sz w:val="24"/>
          <w:szCs w:val="24"/>
          <w:u w:color="000000"/>
        </w:rPr>
      </w:pPr>
      <w:r>
        <w:rPr>
          <w:rFonts w:ascii="Arial" w:hAnsi="Arial"/>
          <w:sz w:val="24"/>
          <w:szCs w:val="24"/>
          <w:u w:color="000000"/>
        </w:rPr>
        <w:t>Legge Regionale Sardegna 14 marzo 1994, n. 12 “Norme in materia di usi civici”</w:t>
      </w:r>
    </w:p>
    <w:p w14:paraId="206B3C08" w14:textId="77777777" w:rsidR="00D01ADF" w:rsidRDefault="00000000">
      <w:pPr>
        <w:pStyle w:val="Corpo"/>
        <w:numPr>
          <w:ilvl w:val="1"/>
          <w:numId w:val="2"/>
        </w:numPr>
        <w:spacing w:before="105" w:after="105" w:line="360" w:lineRule="auto"/>
        <w:jc w:val="both"/>
        <w:rPr>
          <w:rFonts w:ascii="Arial" w:hAnsi="Arial"/>
          <w:sz w:val="24"/>
          <w:szCs w:val="24"/>
          <w:u w:color="000000"/>
        </w:rPr>
      </w:pPr>
      <w:r>
        <w:rPr>
          <w:rFonts w:ascii="Arial" w:hAnsi="Arial"/>
          <w:sz w:val="24"/>
          <w:szCs w:val="24"/>
          <w:u w:color="000000"/>
        </w:rPr>
        <w:t>Regolamento Comunale per l’Esercizio, la Disciplina e la Gestione dei Terreni Gravati da Uso Civico nel Comune di Pattada (“Regolamento comunale di gestione delle terre ad uso civico”), adottato con deliberazione del Consiglio Comunale n. 21 del 12.06.2024, sul quale l’Assessorato Regionale dell’Agricoltura e Riforma Agro-Pastorale ha espresso parere di conformità condizionato con Determinazione RAS n. 841 del 03.07.2024, ai sensi dell’art. 12, comma 2, L.R. 12/1994, come modificato con deliberazione del Consiglio Comunale n. 28 del 12.07.2024 e successiva determinazione RAS AOO 06-01-00 dell’</w:t>
      </w:r>
      <w:r w:rsidRPr="00320B99">
        <w:rPr>
          <w:rFonts w:ascii="Arial" w:hAnsi="Arial"/>
          <w:sz w:val="24"/>
          <w:szCs w:val="24"/>
          <w:u w:color="000000"/>
        </w:rPr>
        <w:t>08.08.2024, presa d</w:t>
      </w:r>
      <w:r>
        <w:rPr>
          <w:rFonts w:ascii="Arial" w:hAnsi="Arial"/>
          <w:sz w:val="24"/>
          <w:szCs w:val="24"/>
          <w:u w:color="000000"/>
        </w:rPr>
        <w:t>’atto prot. 6190 del 09.08.2024.</w:t>
      </w:r>
    </w:p>
    <w:p w14:paraId="4CEACE54" w14:textId="77777777" w:rsidR="00D01ADF" w:rsidRDefault="00000000">
      <w:pPr>
        <w:pStyle w:val="Corpo"/>
        <w:numPr>
          <w:ilvl w:val="1"/>
          <w:numId w:val="2"/>
        </w:numPr>
        <w:spacing w:before="105" w:after="105" w:line="360" w:lineRule="auto"/>
        <w:jc w:val="both"/>
        <w:rPr>
          <w:rFonts w:ascii="Arial" w:hAnsi="Arial"/>
          <w:sz w:val="24"/>
          <w:szCs w:val="24"/>
          <w:u w:color="000000"/>
        </w:rPr>
      </w:pPr>
      <w:r>
        <w:rPr>
          <w:rFonts w:ascii="Arial" w:hAnsi="Arial"/>
          <w:sz w:val="24"/>
          <w:szCs w:val="24"/>
          <w:u w:color="000000"/>
        </w:rPr>
        <w:t>Piano di Valorizzazione delle Terre civiche del Comune di Pattada, adottato con deliberazione del Consiglio Comunale n. 30 del 24.07.2001 e approvato con D.P.G.R. n. 126 del 22.11.2001, pubblicato sul BURAS in data 9 marzo 2002.</w:t>
      </w:r>
    </w:p>
    <w:p w14:paraId="66FA5B08" w14:textId="77777777" w:rsidR="00D01ADF" w:rsidRDefault="00000000">
      <w:pPr>
        <w:pStyle w:val="Corpo"/>
        <w:numPr>
          <w:ilvl w:val="1"/>
          <w:numId w:val="2"/>
        </w:numPr>
        <w:spacing w:before="105" w:after="105" w:line="360" w:lineRule="auto"/>
        <w:jc w:val="both"/>
        <w:rPr>
          <w:rFonts w:ascii="Arial" w:hAnsi="Arial"/>
          <w:sz w:val="24"/>
          <w:szCs w:val="24"/>
          <w:u w:color="000000"/>
          <w:lang w:val="en-US"/>
        </w:rPr>
      </w:pPr>
      <w:r>
        <w:rPr>
          <w:rFonts w:ascii="Arial" w:hAnsi="Arial"/>
          <w:sz w:val="24"/>
          <w:szCs w:val="24"/>
          <w:u w:color="000000"/>
          <w:lang w:val="en-US"/>
        </w:rPr>
        <w:lastRenderedPageBreak/>
        <w:t xml:space="preserve"> </w:t>
      </w:r>
      <w:proofErr w:type="spellStart"/>
      <w:r>
        <w:rPr>
          <w:rFonts w:ascii="Arial" w:hAnsi="Arial"/>
          <w:sz w:val="24"/>
          <w:szCs w:val="24"/>
          <w:u w:color="000000"/>
          <w:lang w:val="en-US"/>
        </w:rPr>
        <w:t>Delibera</w:t>
      </w:r>
      <w:proofErr w:type="spellEnd"/>
      <w:r>
        <w:rPr>
          <w:rFonts w:ascii="Arial" w:hAnsi="Arial"/>
          <w:sz w:val="24"/>
          <w:szCs w:val="24"/>
          <w:u w:color="000000"/>
          <w:lang w:val="en-US"/>
        </w:rPr>
        <w:t xml:space="preserve"> </w:t>
      </w:r>
      <w:proofErr w:type="spellStart"/>
      <w:r>
        <w:rPr>
          <w:rFonts w:ascii="Arial" w:hAnsi="Arial"/>
          <w:sz w:val="24"/>
          <w:szCs w:val="24"/>
          <w:u w:color="000000"/>
          <w:lang w:val="en-US"/>
        </w:rPr>
        <w:t>della</w:t>
      </w:r>
      <w:proofErr w:type="spellEnd"/>
      <w:r>
        <w:rPr>
          <w:rFonts w:ascii="Arial" w:hAnsi="Arial"/>
          <w:sz w:val="24"/>
          <w:szCs w:val="24"/>
          <w:u w:color="000000"/>
          <w:lang w:val="en-US"/>
        </w:rPr>
        <w:t xml:space="preserve"> Giunta Comunale n 79 del 31/10/2025 </w:t>
      </w:r>
      <w:r>
        <w:rPr>
          <w:rFonts w:ascii="Arial" w:hAnsi="Arial"/>
          <w:sz w:val="24"/>
          <w:szCs w:val="24"/>
          <w:u w:color="000000"/>
        </w:rPr>
        <w:t>Annata Silvana 2025/2026 Indicazione aree di taglio. Determinazione dei criteri. Modalità e prezzi per l'assegnazione del legnatico per uso civico.</w:t>
      </w:r>
    </w:p>
    <w:p w14:paraId="2D833F0A" w14:textId="77777777" w:rsidR="00D01ADF" w:rsidRDefault="00000000">
      <w:pPr>
        <w:pStyle w:val="Corpo"/>
        <w:numPr>
          <w:ilvl w:val="1"/>
          <w:numId w:val="2"/>
        </w:numPr>
        <w:spacing w:before="105" w:after="105" w:line="360" w:lineRule="auto"/>
        <w:jc w:val="both"/>
        <w:rPr>
          <w:rFonts w:ascii="Arial" w:hAnsi="Arial"/>
          <w:sz w:val="24"/>
          <w:szCs w:val="24"/>
          <w:u w:color="000000"/>
          <w:lang w:val="en-US"/>
        </w:rPr>
      </w:pPr>
      <w:proofErr w:type="spellStart"/>
      <w:r>
        <w:rPr>
          <w:rFonts w:ascii="Arial" w:hAnsi="Arial"/>
          <w:sz w:val="24"/>
          <w:szCs w:val="24"/>
          <w:u w:color="000000"/>
          <w:lang w:val="en-US"/>
        </w:rPr>
        <w:t>Protocollo</w:t>
      </w:r>
      <w:proofErr w:type="spellEnd"/>
      <w:r>
        <w:rPr>
          <w:rFonts w:ascii="Arial" w:hAnsi="Arial"/>
          <w:sz w:val="24"/>
          <w:szCs w:val="24"/>
          <w:u w:color="000000"/>
          <w:lang w:val="en-US"/>
        </w:rPr>
        <w:t xml:space="preserve"> </w:t>
      </w:r>
      <w:proofErr w:type="gramStart"/>
      <w:r>
        <w:rPr>
          <w:rFonts w:ascii="Arial" w:hAnsi="Arial"/>
          <w:sz w:val="24"/>
          <w:szCs w:val="24"/>
          <w:u w:color="000000"/>
          <w:lang w:val="en-US"/>
        </w:rPr>
        <w:t>n  9605</w:t>
      </w:r>
      <w:proofErr w:type="gramEnd"/>
      <w:r>
        <w:rPr>
          <w:rFonts w:ascii="Arial" w:hAnsi="Arial"/>
          <w:sz w:val="24"/>
          <w:szCs w:val="24"/>
          <w:u w:color="000000"/>
          <w:lang w:val="en-US"/>
        </w:rPr>
        <w:t xml:space="preserve"> del 09/12/2025 </w:t>
      </w:r>
      <w:proofErr w:type="gramStart"/>
      <w:r>
        <w:rPr>
          <w:rFonts w:ascii="Arial" w:hAnsi="Arial"/>
          <w:sz w:val="24"/>
          <w:szCs w:val="24"/>
          <w:u w:color="000000"/>
          <w:lang w:val="en-US"/>
        </w:rPr>
        <w:t>-  Corpo</w:t>
      </w:r>
      <w:proofErr w:type="gramEnd"/>
      <w:r>
        <w:rPr>
          <w:rFonts w:ascii="Arial" w:hAnsi="Arial"/>
          <w:sz w:val="24"/>
          <w:szCs w:val="24"/>
          <w:u w:color="000000"/>
          <w:lang w:val="en-US"/>
        </w:rPr>
        <w:t xml:space="preserve"> </w:t>
      </w:r>
      <w:proofErr w:type="spellStart"/>
      <w:r>
        <w:rPr>
          <w:rFonts w:ascii="Arial" w:hAnsi="Arial"/>
          <w:sz w:val="24"/>
          <w:szCs w:val="24"/>
          <w:u w:color="000000"/>
          <w:lang w:val="en-US"/>
        </w:rPr>
        <w:t>forestale</w:t>
      </w:r>
      <w:proofErr w:type="spellEnd"/>
      <w:r>
        <w:rPr>
          <w:rFonts w:ascii="Arial" w:hAnsi="Arial"/>
          <w:sz w:val="24"/>
          <w:szCs w:val="24"/>
          <w:u w:color="000000"/>
          <w:lang w:val="en-US"/>
        </w:rPr>
        <w:t xml:space="preserve"> e di </w:t>
      </w:r>
      <w:proofErr w:type="spellStart"/>
      <w:r>
        <w:rPr>
          <w:rFonts w:ascii="Arial" w:hAnsi="Arial"/>
          <w:sz w:val="24"/>
          <w:szCs w:val="24"/>
          <w:u w:color="000000"/>
          <w:lang w:val="en-US"/>
        </w:rPr>
        <w:t>Vigilanza</w:t>
      </w:r>
      <w:proofErr w:type="spellEnd"/>
      <w:r>
        <w:rPr>
          <w:rFonts w:ascii="Arial" w:hAnsi="Arial"/>
          <w:sz w:val="24"/>
          <w:szCs w:val="24"/>
          <w:u w:color="000000"/>
          <w:lang w:val="en-US"/>
        </w:rPr>
        <w:t xml:space="preserve"> </w:t>
      </w:r>
      <w:proofErr w:type="spellStart"/>
      <w:r>
        <w:rPr>
          <w:rFonts w:ascii="Arial" w:hAnsi="Arial"/>
          <w:sz w:val="24"/>
          <w:szCs w:val="24"/>
          <w:u w:color="000000"/>
          <w:lang w:val="en-US"/>
        </w:rPr>
        <w:t>ambientale</w:t>
      </w:r>
      <w:proofErr w:type="spellEnd"/>
      <w:r>
        <w:rPr>
          <w:rFonts w:ascii="Arial" w:hAnsi="Arial"/>
          <w:sz w:val="24"/>
          <w:szCs w:val="24"/>
          <w:u w:color="000000"/>
          <w:lang w:val="en-US"/>
        </w:rPr>
        <w:t xml:space="preserve">- Annata Silvana 2025/26 Bosco di </w:t>
      </w:r>
      <w:proofErr w:type="spellStart"/>
      <w:r>
        <w:rPr>
          <w:rFonts w:ascii="Arial" w:hAnsi="Arial"/>
          <w:sz w:val="24"/>
          <w:szCs w:val="24"/>
          <w:u w:color="000000"/>
          <w:lang w:val="en-US"/>
        </w:rPr>
        <w:t>proprietà</w:t>
      </w:r>
      <w:proofErr w:type="spellEnd"/>
      <w:r>
        <w:rPr>
          <w:rFonts w:ascii="Arial" w:hAnsi="Arial"/>
          <w:sz w:val="24"/>
          <w:szCs w:val="24"/>
          <w:u w:color="000000"/>
          <w:lang w:val="en-US"/>
        </w:rPr>
        <w:t xml:space="preserve"> </w:t>
      </w:r>
      <w:proofErr w:type="spellStart"/>
      <w:proofErr w:type="gramStart"/>
      <w:r>
        <w:rPr>
          <w:rFonts w:ascii="Arial" w:hAnsi="Arial"/>
          <w:sz w:val="24"/>
          <w:szCs w:val="24"/>
          <w:u w:color="000000"/>
          <w:lang w:val="en-US"/>
        </w:rPr>
        <w:t>comunale</w:t>
      </w:r>
      <w:proofErr w:type="spellEnd"/>
      <w:r>
        <w:rPr>
          <w:rFonts w:ascii="Arial" w:hAnsi="Arial"/>
          <w:sz w:val="24"/>
          <w:szCs w:val="24"/>
          <w:u w:color="000000"/>
          <w:lang w:val="en-US"/>
        </w:rPr>
        <w:t xml:space="preserve"> .</w:t>
      </w:r>
      <w:proofErr w:type="gramEnd"/>
      <w:r>
        <w:rPr>
          <w:rFonts w:ascii="Arial" w:hAnsi="Arial"/>
          <w:sz w:val="24"/>
          <w:szCs w:val="24"/>
          <w:u w:color="000000"/>
          <w:lang w:val="en-US"/>
        </w:rPr>
        <w:t xml:space="preserve"> </w:t>
      </w:r>
      <w:proofErr w:type="gramStart"/>
      <w:r>
        <w:rPr>
          <w:rFonts w:ascii="Arial" w:hAnsi="Arial"/>
          <w:sz w:val="24"/>
          <w:szCs w:val="24"/>
          <w:u w:color="000000"/>
          <w:lang w:val="en-US"/>
        </w:rPr>
        <w:t>( Loc</w:t>
      </w:r>
      <w:proofErr w:type="gramEnd"/>
      <w:r>
        <w:rPr>
          <w:rFonts w:ascii="Arial" w:hAnsi="Arial"/>
          <w:sz w:val="24"/>
          <w:szCs w:val="24"/>
          <w:u w:color="000000"/>
          <w:lang w:val="en-US"/>
        </w:rPr>
        <w:t xml:space="preserve"> “Coas de </w:t>
      </w:r>
      <w:proofErr w:type="spellStart"/>
      <w:r>
        <w:rPr>
          <w:rFonts w:ascii="Arial" w:hAnsi="Arial"/>
          <w:sz w:val="24"/>
          <w:szCs w:val="24"/>
          <w:u w:color="000000"/>
          <w:lang w:val="en-US"/>
        </w:rPr>
        <w:t>tene</w:t>
      </w:r>
      <w:proofErr w:type="spellEnd"/>
      <w:proofErr w:type="gramStart"/>
      <w:r>
        <w:rPr>
          <w:rFonts w:ascii="Arial" w:hAnsi="Arial"/>
          <w:sz w:val="24"/>
          <w:szCs w:val="24"/>
          <w:u w:color="000000"/>
          <w:lang w:val="en-US"/>
        </w:rPr>
        <w:t xml:space="preserve">-  </w:t>
      </w:r>
      <w:proofErr w:type="spellStart"/>
      <w:r>
        <w:rPr>
          <w:rFonts w:ascii="Arial" w:hAnsi="Arial"/>
          <w:sz w:val="24"/>
          <w:szCs w:val="24"/>
          <w:u w:color="000000"/>
          <w:lang w:val="en-US"/>
        </w:rPr>
        <w:t>Renosu</w:t>
      </w:r>
      <w:proofErr w:type="spellEnd"/>
      <w:proofErr w:type="gramEnd"/>
      <w:r>
        <w:rPr>
          <w:rFonts w:ascii="Arial" w:hAnsi="Arial"/>
          <w:sz w:val="24"/>
          <w:szCs w:val="24"/>
          <w:u w:color="000000"/>
          <w:lang w:val="en-US"/>
        </w:rPr>
        <w:t xml:space="preserve">, Foglio 58, </w:t>
      </w:r>
      <w:proofErr w:type="spellStart"/>
      <w:r>
        <w:rPr>
          <w:rFonts w:ascii="Arial" w:hAnsi="Arial"/>
          <w:sz w:val="24"/>
          <w:szCs w:val="24"/>
          <w:u w:color="000000"/>
          <w:lang w:val="en-US"/>
        </w:rPr>
        <w:t>mappale</w:t>
      </w:r>
      <w:proofErr w:type="spellEnd"/>
      <w:r>
        <w:rPr>
          <w:rFonts w:ascii="Arial" w:hAnsi="Arial"/>
          <w:sz w:val="24"/>
          <w:szCs w:val="24"/>
          <w:u w:color="000000"/>
          <w:lang w:val="en-US"/>
        </w:rPr>
        <w:t xml:space="preserve"> 7) </w:t>
      </w:r>
      <w:proofErr w:type="spellStart"/>
      <w:r>
        <w:rPr>
          <w:rFonts w:ascii="Arial" w:hAnsi="Arial"/>
          <w:sz w:val="24"/>
          <w:szCs w:val="24"/>
          <w:u w:color="000000"/>
          <w:lang w:val="en-US"/>
        </w:rPr>
        <w:t>Autorizzazione</w:t>
      </w:r>
      <w:proofErr w:type="spellEnd"/>
      <w:r>
        <w:rPr>
          <w:rFonts w:ascii="Arial" w:hAnsi="Arial"/>
          <w:sz w:val="24"/>
          <w:szCs w:val="24"/>
          <w:u w:color="000000"/>
          <w:lang w:val="en-US"/>
        </w:rPr>
        <w:t xml:space="preserve"> al </w:t>
      </w:r>
      <w:proofErr w:type="spellStart"/>
      <w:r>
        <w:rPr>
          <w:rFonts w:ascii="Arial" w:hAnsi="Arial"/>
          <w:sz w:val="24"/>
          <w:szCs w:val="24"/>
          <w:u w:color="000000"/>
          <w:lang w:val="en-US"/>
        </w:rPr>
        <w:t>taglio</w:t>
      </w:r>
      <w:proofErr w:type="spellEnd"/>
      <w:r>
        <w:rPr>
          <w:rFonts w:ascii="Arial" w:hAnsi="Arial"/>
          <w:sz w:val="24"/>
          <w:szCs w:val="24"/>
          <w:u w:color="000000"/>
          <w:lang w:val="en-US"/>
        </w:rPr>
        <w:t xml:space="preserve"> art. 140 R.</w:t>
      </w:r>
    </w:p>
    <w:p w14:paraId="1F162326" w14:textId="77777777" w:rsidR="00D01ADF" w:rsidRDefault="00000000">
      <w:pPr>
        <w:pStyle w:val="Corpo"/>
        <w:spacing w:before="315" w:after="105" w:line="360" w:lineRule="auto"/>
        <w:jc w:val="both"/>
        <w:rPr>
          <w:rFonts w:ascii="Arial" w:eastAsia="Arial" w:hAnsi="Arial" w:cs="Arial"/>
          <w:sz w:val="24"/>
          <w:szCs w:val="24"/>
          <w:u w:color="000000"/>
        </w:rPr>
      </w:pPr>
      <w:bookmarkStart w:id="0" w:name="fasi_del_progetto"/>
      <w:r>
        <w:rPr>
          <w:rFonts w:ascii="Arial" w:hAnsi="Arial"/>
          <w:b/>
          <w:bCs/>
          <w:sz w:val="24"/>
          <w:szCs w:val="24"/>
          <w:u w:color="000000"/>
        </w:rPr>
        <w:t>Fasi del progetto</w:t>
      </w:r>
      <w:bookmarkEnd w:id="0"/>
    </w:p>
    <w:p w14:paraId="2F4F2B58" w14:textId="77777777" w:rsidR="00D01ADF" w:rsidRDefault="00000000">
      <w:pPr>
        <w:pStyle w:val="Corpo"/>
        <w:numPr>
          <w:ilvl w:val="1"/>
          <w:numId w:val="4"/>
        </w:numPr>
        <w:spacing w:before="105" w:after="105" w:line="360" w:lineRule="auto"/>
        <w:jc w:val="both"/>
        <w:rPr>
          <w:rFonts w:ascii="Arial" w:hAnsi="Arial"/>
          <w:sz w:val="24"/>
          <w:szCs w:val="24"/>
          <w:u w:color="000000"/>
        </w:rPr>
      </w:pPr>
      <w:r>
        <w:rPr>
          <w:rFonts w:ascii="Arial" w:hAnsi="Arial"/>
          <w:sz w:val="24"/>
          <w:szCs w:val="24"/>
          <w:u w:color="000000"/>
        </w:rPr>
        <w:t xml:space="preserve">Individuazione e delimitazione di circa </w:t>
      </w:r>
      <w:r>
        <w:rPr>
          <w:rFonts w:ascii="Arial" w:hAnsi="Arial"/>
          <w:sz w:val="24"/>
          <w:szCs w:val="24"/>
          <w:u w:color="000000"/>
          <w:lang w:val="en-US"/>
        </w:rPr>
        <w:t>200</w:t>
      </w:r>
      <w:r>
        <w:rPr>
          <w:rFonts w:ascii="Arial" w:hAnsi="Arial"/>
          <w:sz w:val="24"/>
          <w:szCs w:val="24"/>
          <w:u w:color="000000"/>
        </w:rPr>
        <w:t xml:space="preserve"> lotti boschivi ricadenti su terre civiche,</w:t>
      </w:r>
      <w:r>
        <w:rPr>
          <w:rFonts w:ascii="Arial" w:hAnsi="Arial"/>
          <w:sz w:val="24"/>
          <w:szCs w:val="24"/>
          <w:u w:color="000000"/>
          <w:lang w:val="en-US"/>
        </w:rPr>
        <w:t xml:space="preserve"> in </w:t>
      </w:r>
      <w:proofErr w:type="spellStart"/>
      <w:r>
        <w:rPr>
          <w:rFonts w:ascii="Arial" w:hAnsi="Arial"/>
          <w:sz w:val="24"/>
          <w:szCs w:val="24"/>
          <w:u w:color="000000"/>
        </w:rPr>
        <w:t>Loc</w:t>
      </w:r>
      <w:proofErr w:type="spellEnd"/>
      <w:r>
        <w:rPr>
          <w:rFonts w:ascii="Arial" w:hAnsi="Arial"/>
          <w:sz w:val="24"/>
          <w:szCs w:val="24"/>
          <w:u w:color="000000"/>
        </w:rPr>
        <w:t xml:space="preserve"> </w:t>
      </w:r>
      <w:r>
        <w:rPr>
          <w:rFonts w:ascii="Arial" w:hAnsi="Arial"/>
          <w:sz w:val="24"/>
          <w:szCs w:val="24"/>
          <w:u w:color="000000"/>
          <w:rtl/>
          <w:lang w:val="ar-SA"/>
        </w:rPr>
        <w:t>“</w:t>
      </w:r>
      <w:proofErr w:type="spellStart"/>
      <w:r>
        <w:rPr>
          <w:rFonts w:ascii="Arial" w:hAnsi="Arial"/>
          <w:sz w:val="24"/>
          <w:szCs w:val="24"/>
          <w:u w:color="000000"/>
        </w:rPr>
        <w:t>Coas</w:t>
      </w:r>
      <w:proofErr w:type="spellEnd"/>
      <w:r>
        <w:rPr>
          <w:rFonts w:ascii="Arial" w:hAnsi="Arial"/>
          <w:sz w:val="24"/>
          <w:szCs w:val="24"/>
          <w:u w:color="000000"/>
        </w:rPr>
        <w:t xml:space="preserve"> de </w:t>
      </w:r>
      <w:proofErr w:type="spellStart"/>
      <w:r>
        <w:rPr>
          <w:rFonts w:ascii="Arial" w:hAnsi="Arial"/>
          <w:sz w:val="24"/>
          <w:szCs w:val="24"/>
          <w:u w:color="000000"/>
        </w:rPr>
        <w:t>tene</w:t>
      </w:r>
      <w:proofErr w:type="spellEnd"/>
      <w:proofErr w:type="gramStart"/>
      <w:r>
        <w:rPr>
          <w:rFonts w:ascii="Arial" w:hAnsi="Arial"/>
          <w:sz w:val="24"/>
          <w:szCs w:val="24"/>
          <w:u w:color="000000"/>
        </w:rPr>
        <w:t xml:space="preserve">-  </w:t>
      </w:r>
      <w:proofErr w:type="spellStart"/>
      <w:r>
        <w:rPr>
          <w:rFonts w:ascii="Arial" w:hAnsi="Arial"/>
          <w:sz w:val="24"/>
          <w:szCs w:val="24"/>
          <w:u w:color="000000"/>
        </w:rPr>
        <w:t>Renosu</w:t>
      </w:r>
      <w:proofErr w:type="spellEnd"/>
      <w:proofErr w:type="gramEnd"/>
      <w:r>
        <w:rPr>
          <w:rFonts w:ascii="Arial" w:hAnsi="Arial"/>
          <w:sz w:val="24"/>
          <w:szCs w:val="24"/>
          <w:u w:color="000000"/>
        </w:rPr>
        <w:t>, Foglio 58, mappale 7</w:t>
      </w:r>
      <w:r>
        <w:rPr>
          <w:rFonts w:ascii="Arial" w:hAnsi="Arial"/>
          <w:sz w:val="24"/>
          <w:szCs w:val="24"/>
          <w:u w:color="000000"/>
          <w:lang w:val="en-US"/>
        </w:rPr>
        <w:t>.</w:t>
      </w:r>
    </w:p>
    <w:p w14:paraId="0B3E8DD6" w14:textId="77777777" w:rsidR="00D01ADF" w:rsidRDefault="00000000">
      <w:pPr>
        <w:pStyle w:val="Corpo"/>
        <w:numPr>
          <w:ilvl w:val="1"/>
          <w:numId w:val="4"/>
        </w:numPr>
        <w:spacing w:before="105" w:after="105" w:line="360" w:lineRule="auto"/>
        <w:jc w:val="both"/>
        <w:rPr>
          <w:rFonts w:ascii="Arial" w:hAnsi="Arial"/>
          <w:sz w:val="24"/>
          <w:szCs w:val="24"/>
          <w:u w:color="000000"/>
          <w:lang w:val="en-US"/>
        </w:rPr>
      </w:pPr>
      <w:r>
        <w:rPr>
          <w:rFonts w:ascii="Arial" w:hAnsi="Arial"/>
          <w:sz w:val="24"/>
          <w:szCs w:val="24"/>
          <w:u w:color="000000"/>
          <w:lang w:val="en-US"/>
        </w:rPr>
        <w:t xml:space="preserve">In </w:t>
      </w:r>
      <w:proofErr w:type="spellStart"/>
      <w:r>
        <w:rPr>
          <w:rFonts w:ascii="Arial" w:hAnsi="Arial"/>
          <w:sz w:val="24"/>
          <w:szCs w:val="24"/>
          <w:u w:color="000000"/>
          <w:lang w:val="en-US"/>
        </w:rPr>
        <w:t>concomitanza</w:t>
      </w:r>
      <w:proofErr w:type="spellEnd"/>
      <w:r>
        <w:rPr>
          <w:rFonts w:ascii="Arial" w:hAnsi="Arial"/>
          <w:sz w:val="24"/>
          <w:szCs w:val="24"/>
          <w:u w:color="000000"/>
          <w:lang w:val="en-US"/>
        </w:rPr>
        <w:t xml:space="preserve"> con la </w:t>
      </w:r>
      <w:proofErr w:type="spellStart"/>
      <w:r>
        <w:rPr>
          <w:rFonts w:ascii="Arial" w:hAnsi="Arial"/>
          <w:sz w:val="24"/>
          <w:szCs w:val="24"/>
          <w:u w:color="000000"/>
          <w:lang w:val="en-US"/>
        </w:rPr>
        <w:t>delimitazione</w:t>
      </w:r>
      <w:proofErr w:type="spellEnd"/>
      <w:r>
        <w:rPr>
          <w:rFonts w:ascii="Arial" w:hAnsi="Arial"/>
          <w:sz w:val="24"/>
          <w:szCs w:val="24"/>
          <w:u w:color="000000"/>
          <w:lang w:val="en-US"/>
        </w:rPr>
        <w:t xml:space="preserve"> </w:t>
      </w:r>
      <w:proofErr w:type="spellStart"/>
      <w:r>
        <w:rPr>
          <w:rFonts w:ascii="Arial" w:hAnsi="Arial"/>
          <w:sz w:val="24"/>
          <w:szCs w:val="24"/>
          <w:u w:color="000000"/>
          <w:lang w:val="en-US"/>
        </w:rPr>
        <w:t>dei</w:t>
      </w:r>
      <w:proofErr w:type="spellEnd"/>
      <w:r>
        <w:rPr>
          <w:rFonts w:ascii="Arial" w:hAnsi="Arial"/>
          <w:sz w:val="24"/>
          <w:szCs w:val="24"/>
          <w:u w:color="000000"/>
          <w:lang w:val="en-US"/>
        </w:rPr>
        <w:t xml:space="preserve"> </w:t>
      </w:r>
      <w:proofErr w:type="spellStart"/>
      <w:r>
        <w:rPr>
          <w:rFonts w:ascii="Arial" w:hAnsi="Arial"/>
          <w:sz w:val="24"/>
          <w:szCs w:val="24"/>
          <w:u w:color="000000"/>
          <w:lang w:val="en-US"/>
        </w:rPr>
        <w:t>lotti</w:t>
      </w:r>
      <w:proofErr w:type="spellEnd"/>
      <w:r>
        <w:rPr>
          <w:rFonts w:ascii="Arial" w:hAnsi="Arial"/>
          <w:sz w:val="24"/>
          <w:szCs w:val="24"/>
          <w:u w:color="000000"/>
          <w:lang w:val="en-US"/>
        </w:rPr>
        <w:t>,</w:t>
      </w:r>
      <w:r>
        <w:rPr>
          <w:rFonts w:ascii="Arial" w:hAnsi="Arial"/>
          <w:sz w:val="24"/>
          <w:szCs w:val="24"/>
          <w:u w:color="000000"/>
        </w:rPr>
        <w:t xml:space="preserve"> al fine di rispettare il termine del 15 aprile per la conclusione delle operazioni di taglio e asporto</w:t>
      </w:r>
      <w:r>
        <w:rPr>
          <w:rFonts w:ascii="Arial" w:hAnsi="Arial"/>
          <w:sz w:val="24"/>
          <w:szCs w:val="24"/>
          <w:u w:color="000000"/>
          <w:lang w:val="en-US"/>
        </w:rPr>
        <w:t xml:space="preserve"> r</w:t>
      </w:r>
      <w:proofErr w:type="spellStart"/>
      <w:r>
        <w:rPr>
          <w:rFonts w:ascii="Arial" w:hAnsi="Arial"/>
          <w:sz w:val="24"/>
          <w:szCs w:val="24"/>
          <w:u w:color="000000"/>
        </w:rPr>
        <w:t>edazione</w:t>
      </w:r>
      <w:proofErr w:type="spellEnd"/>
      <w:r>
        <w:rPr>
          <w:rFonts w:ascii="Arial" w:hAnsi="Arial"/>
          <w:sz w:val="24"/>
          <w:szCs w:val="24"/>
          <w:u w:color="000000"/>
        </w:rPr>
        <w:t xml:space="preserve"> del bando di assegnazione dei lotti</w:t>
      </w:r>
      <w:r>
        <w:rPr>
          <w:rFonts w:ascii="Arial" w:hAnsi="Arial"/>
          <w:sz w:val="24"/>
          <w:szCs w:val="24"/>
          <w:u w:color="000000"/>
          <w:lang w:val="en-US"/>
        </w:rPr>
        <w:t>, p</w:t>
      </w:r>
      <w:proofErr w:type="spellStart"/>
      <w:r>
        <w:rPr>
          <w:rFonts w:ascii="Arial" w:hAnsi="Arial"/>
          <w:sz w:val="24"/>
          <w:szCs w:val="24"/>
          <w:u w:color="000000"/>
        </w:rPr>
        <w:t>ubblicazione</w:t>
      </w:r>
      <w:proofErr w:type="spellEnd"/>
      <w:r>
        <w:rPr>
          <w:rFonts w:ascii="Arial" w:hAnsi="Arial"/>
          <w:sz w:val="24"/>
          <w:szCs w:val="24"/>
          <w:u w:color="000000"/>
        </w:rPr>
        <w:t xml:space="preserve"> all’Albo pretorio e sul sito istituzionale, con tempistiche tali da permettere l’avvio dei tagli e dell’asporto e la loro conclusione entro il 15 aprile 2026.</w:t>
      </w:r>
    </w:p>
    <w:p w14:paraId="79D40D6D" w14:textId="77777777" w:rsidR="00D01ADF" w:rsidRDefault="00000000">
      <w:pPr>
        <w:pStyle w:val="Corpo"/>
        <w:numPr>
          <w:ilvl w:val="1"/>
          <w:numId w:val="4"/>
        </w:numPr>
        <w:spacing w:before="105" w:after="105" w:line="360" w:lineRule="auto"/>
        <w:jc w:val="both"/>
        <w:rPr>
          <w:rFonts w:ascii="Arial" w:hAnsi="Arial"/>
          <w:sz w:val="24"/>
          <w:szCs w:val="24"/>
          <w:u w:color="000000"/>
        </w:rPr>
      </w:pPr>
      <w:r>
        <w:rPr>
          <w:rFonts w:ascii="Arial" w:hAnsi="Arial"/>
          <w:sz w:val="24"/>
          <w:szCs w:val="24"/>
          <w:u w:color="000000"/>
        </w:rPr>
        <w:t xml:space="preserve">Ricezione delle istanze, verifica dei requisiti soggettivi di accesso ai diritti di uso civico e formazione della graduatoria secondo quanto previsto dal </w:t>
      </w:r>
      <w:r>
        <w:rPr>
          <w:rFonts w:ascii="Arial" w:hAnsi="Arial"/>
          <w:sz w:val="24"/>
          <w:szCs w:val="24"/>
          <w:u w:color="000000"/>
          <w:lang w:val="en-US"/>
        </w:rPr>
        <w:t xml:space="preserve">bando. </w:t>
      </w:r>
    </w:p>
    <w:p w14:paraId="571401C3" w14:textId="77777777" w:rsidR="00D01ADF" w:rsidRDefault="00000000">
      <w:pPr>
        <w:pStyle w:val="Corpo"/>
        <w:numPr>
          <w:ilvl w:val="1"/>
          <w:numId w:val="4"/>
        </w:numPr>
        <w:spacing w:before="105" w:after="105" w:line="360" w:lineRule="auto"/>
        <w:jc w:val="both"/>
        <w:rPr>
          <w:rFonts w:ascii="Arial" w:hAnsi="Arial"/>
          <w:sz w:val="24"/>
          <w:szCs w:val="24"/>
          <w:u w:color="000000"/>
        </w:rPr>
      </w:pPr>
      <w:r>
        <w:rPr>
          <w:rFonts w:ascii="Arial" w:hAnsi="Arial"/>
          <w:sz w:val="24"/>
          <w:szCs w:val="24"/>
          <w:u w:color="000000"/>
        </w:rPr>
        <w:t>Consegna formale dei lotti assegnati e comunicazione delle prescrizioni tecniche e temporali da rispettare</w:t>
      </w:r>
      <w:r>
        <w:rPr>
          <w:rFonts w:ascii="Arial" w:hAnsi="Arial"/>
          <w:sz w:val="24"/>
          <w:szCs w:val="24"/>
          <w:u w:color="000000"/>
          <w:lang w:val="en-US"/>
        </w:rPr>
        <w:t>.</w:t>
      </w:r>
    </w:p>
    <w:p w14:paraId="359476B9" w14:textId="77777777" w:rsidR="00D01ADF" w:rsidRDefault="00000000">
      <w:pPr>
        <w:pStyle w:val="Corpo"/>
        <w:numPr>
          <w:ilvl w:val="1"/>
          <w:numId w:val="4"/>
        </w:numPr>
        <w:spacing w:before="105" w:after="105" w:line="360" w:lineRule="auto"/>
        <w:jc w:val="both"/>
        <w:rPr>
          <w:rFonts w:ascii="Arial" w:hAnsi="Arial"/>
          <w:sz w:val="24"/>
          <w:szCs w:val="24"/>
          <w:u w:color="000000"/>
        </w:rPr>
      </w:pPr>
      <w:r>
        <w:rPr>
          <w:rFonts w:ascii="Arial" w:hAnsi="Arial"/>
          <w:sz w:val="24"/>
          <w:szCs w:val="24"/>
          <w:u w:color="000000"/>
        </w:rPr>
        <w:t>Vigilanza sulle attività di taglio e asporto del materiale legnoso, con particolare riguardo alla tutela dei valori ambientali e al rispetto dei limiti e delle modalità di esercizio dell’uso civico stabiliti dalla L.R. 12/1994, dal Regolamento comunale e dal Piano di Valorizzazione.</w:t>
      </w:r>
    </w:p>
    <w:p w14:paraId="1B9B6BBB" w14:textId="77777777" w:rsidR="00D01ADF" w:rsidRDefault="00000000">
      <w:pPr>
        <w:pStyle w:val="Corpo"/>
        <w:numPr>
          <w:ilvl w:val="1"/>
          <w:numId w:val="4"/>
        </w:numPr>
        <w:spacing w:before="105" w:after="105" w:line="360" w:lineRule="auto"/>
        <w:jc w:val="both"/>
        <w:rPr>
          <w:rFonts w:ascii="Arial" w:hAnsi="Arial"/>
          <w:sz w:val="24"/>
          <w:szCs w:val="24"/>
          <w:u w:color="000000"/>
        </w:rPr>
      </w:pPr>
      <w:r>
        <w:rPr>
          <w:rFonts w:ascii="Arial" w:hAnsi="Arial"/>
          <w:sz w:val="24"/>
          <w:szCs w:val="24"/>
          <w:u w:color="000000"/>
        </w:rPr>
        <w:t>Verifica della conclusione delle operazioni di taglio e asporto entro e non oltre il 15 aprile 2026, con successiva chiusura delle pratiche e redazione di eventuali verbali di accertamento.</w:t>
      </w:r>
    </w:p>
    <w:p w14:paraId="34809437" w14:textId="77777777" w:rsidR="00D01ADF" w:rsidRDefault="00D01ADF">
      <w:pPr>
        <w:pStyle w:val="Corpo"/>
        <w:tabs>
          <w:tab w:val="left" w:pos="1440"/>
        </w:tabs>
        <w:spacing w:before="105" w:after="105" w:line="360" w:lineRule="auto"/>
        <w:jc w:val="both"/>
        <w:rPr>
          <w:rFonts w:ascii="Arial" w:eastAsia="Arial" w:hAnsi="Arial" w:cs="Arial"/>
          <w:sz w:val="24"/>
          <w:szCs w:val="24"/>
          <w:u w:color="000000"/>
        </w:rPr>
      </w:pPr>
    </w:p>
    <w:p w14:paraId="43C2CD0F" w14:textId="77777777" w:rsidR="00D01ADF" w:rsidRDefault="00000000">
      <w:pPr>
        <w:pStyle w:val="Corpo"/>
        <w:spacing w:before="315" w:after="105" w:line="360" w:lineRule="auto"/>
        <w:jc w:val="both"/>
        <w:rPr>
          <w:rFonts w:ascii="Arial" w:eastAsia="Arial" w:hAnsi="Arial" w:cs="Arial"/>
          <w:sz w:val="24"/>
          <w:szCs w:val="24"/>
          <w:u w:color="000000"/>
        </w:rPr>
      </w:pPr>
      <w:bookmarkStart w:id="1" w:name="risorse_umane"/>
      <w:r>
        <w:rPr>
          <w:rFonts w:ascii="Arial" w:hAnsi="Arial"/>
          <w:b/>
          <w:bCs/>
          <w:sz w:val="24"/>
          <w:szCs w:val="24"/>
          <w:u w:color="000000"/>
        </w:rPr>
        <w:t>Risorse umane</w:t>
      </w:r>
      <w:bookmarkEnd w:id="1"/>
    </w:p>
    <w:p w14:paraId="23419271" w14:textId="77777777" w:rsidR="00D01ADF" w:rsidRDefault="00000000">
      <w:pPr>
        <w:pStyle w:val="Corpo"/>
        <w:tabs>
          <w:tab w:val="left" w:pos="900"/>
        </w:tabs>
        <w:spacing w:after="210" w:line="360" w:lineRule="auto"/>
        <w:jc w:val="both"/>
        <w:rPr>
          <w:rFonts w:ascii="Arial" w:eastAsia="Arial" w:hAnsi="Arial" w:cs="Arial"/>
          <w:sz w:val="24"/>
          <w:szCs w:val="24"/>
          <w:u w:color="000000"/>
        </w:rPr>
      </w:pPr>
      <w:r>
        <w:rPr>
          <w:rFonts w:ascii="Arial" w:hAnsi="Arial"/>
          <w:b/>
          <w:bCs/>
          <w:sz w:val="24"/>
          <w:szCs w:val="24"/>
          <w:u w:color="000000"/>
        </w:rPr>
        <w:t>Personale impiegato:</w:t>
      </w:r>
    </w:p>
    <w:p w14:paraId="259BB24C" w14:textId="77777777" w:rsidR="00D01ADF" w:rsidRDefault="00000000">
      <w:pPr>
        <w:pStyle w:val="Corpo"/>
        <w:numPr>
          <w:ilvl w:val="1"/>
          <w:numId w:val="6"/>
        </w:numPr>
        <w:spacing w:before="105" w:after="105" w:line="360" w:lineRule="auto"/>
        <w:jc w:val="both"/>
        <w:rPr>
          <w:rFonts w:ascii="Arial" w:hAnsi="Arial"/>
          <w:sz w:val="24"/>
          <w:szCs w:val="24"/>
          <w:u w:color="000000"/>
        </w:rPr>
      </w:pPr>
      <w:r>
        <w:rPr>
          <w:rFonts w:ascii="Arial" w:hAnsi="Arial"/>
          <w:sz w:val="24"/>
          <w:szCs w:val="24"/>
          <w:u w:color="000000"/>
        </w:rPr>
        <w:t xml:space="preserve">n. 1 vigile </w:t>
      </w:r>
      <w:r>
        <w:rPr>
          <w:rFonts w:ascii="Arial" w:hAnsi="Arial"/>
          <w:b/>
          <w:bCs/>
          <w:sz w:val="24"/>
          <w:szCs w:val="24"/>
          <w:u w:color="000000"/>
          <w:lang w:val="en-US"/>
        </w:rPr>
        <w:t>full-time</w:t>
      </w:r>
      <w:r>
        <w:rPr>
          <w:rFonts w:ascii="Arial" w:hAnsi="Arial"/>
          <w:sz w:val="24"/>
          <w:szCs w:val="24"/>
          <w:u w:color="000000"/>
        </w:rPr>
        <w:t>, destinato alle attività di coordinamento, istruttoria e vigilanza, senza previsione di costi aggiuntivi a carico del presente progetto.</w:t>
      </w:r>
    </w:p>
    <w:p w14:paraId="6113DEC1" w14:textId="77777777" w:rsidR="00D01ADF" w:rsidRDefault="00000000">
      <w:pPr>
        <w:pStyle w:val="Corpo"/>
        <w:numPr>
          <w:ilvl w:val="1"/>
          <w:numId w:val="6"/>
        </w:numPr>
        <w:spacing w:before="105" w:after="105" w:line="360" w:lineRule="auto"/>
        <w:jc w:val="both"/>
        <w:rPr>
          <w:rFonts w:ascii="Arial" w:hAnsi="Arial"/>
          <w:sz w:val="24"/>
          <w:szCs w:val="24"/>
          <w:u w:color="000000"/>
        </w:rPr>
      </w:pPr>
      <w:r>
        <w:rPr>
          <w:rFonts w:ascii="Arial" w:hAnsi="Arial"/>
          <w:sz w:val="24"/>
          <w:szCs w:val="24"/>
          <w:u w:color="000000"/>
        </w:rPr>
        <w:lastRenderedPageBreak/>
        <w:t xml:space="preserve">n. 2 vigili </w:t>
      </w:r>
      <w:r>
        <w:rPr>
          <w:rFonts w:ascii="Arial" w:hAnsi="Arial"/>
          <w:b/>
          <w:bCs/>
          <w:sz w:val="24"/>
          <w:szCs w:val="24"/>
          <w:u w:color="000000"/>
          <w:lang w:val="en-US"/>
        </w:rPr>
        <w:t>part-time</w:t>
      </w:r>
      <w:r>
        <w:rPr>
          <w:rFonts w:ascii="Arial" w:hAnsi="Arial"/>
          <w:sz w:val="24"/>
          <w:szCs w:val="24"/>
          <w:u w:color="000000"/>
        </w:rPr>
        <w:t xml:space="preserve"> (18 ore settimanali ciascuno), per i quali si prevede il ricorso a lavoro straordinario per garantire la copertura dei controlli e delle attività connesse all’annata silvana.</w:t>
      </w:r>
    </w:p>
    <w:p w14:paraId="52558773" w14:textId="77777777" w:rsidR="00D01ADF" w:rsidRDefault="00000000">
      <w:pPr>
        <w:pStyle w:val="Corpo"/>
        <w:tabs>
          <w:tab w:val="left" w:pos="1440"/>
        </w:tabs>
        <w:spacing w:before="105" w:after="105" w:line="360" w:lineRule="auto"/>
        <w:jc w:val="both"/>
        <w:rPr>
          <w:rFonts w:ascii="Arial" w:eastAsia="Arial" w:hAnsi="Arial" w:cs="Arial"/>
          <w:sz w:val="24"/>
          <w:szCs w:val="24"/>
          <w:u w:color="000000"/>
        </w:rPr>
      </w:pPr>
      <w:r>
        <w:rPr>
          <w:rFonts w:ascii="Arial" w:hAnsi="Arial"/>
          <w:sz w:val="24"/>
          <w:szCs w:val="24"/>
          <w:u w:color="000000"/>
          <w:rtl/>
          <w:lang w:val="ar-SA"/>
        </w:rPr>
        <w:t>“</w:t>
      </w:r>
      <w:r>
        <w:rPr>
          <w:rFonts w:ascii="Arial" w:hAnsi="Arial"/>
          <w:sz w:val="24"/>
          <w:szCs w:val="24"/>
          <w:u w:color="000000"/>
        </w:rPr>
        <w:t>Il personale sopra indicato opera sotto la direzione e il coordinamento del Responsabile del Servizio di Polizia Locale e Usi Civici, individuato quale responsabile del procedimento per l</w:t>
      </w:r>
      <w:r>
        <w:rPr>
          <w:rFonts w:ascii="Arial" w:hAnsi="Arial"/>
          <w:sz w:val="24"/>
          <w:szCs w:val="24"/>
          <w:u w:color="000000"/>
          <w:rtl/>
        </w:rPr>
        <w:t>’</w:t>
      </w:r>
      <w:r>
        <w:rPr>
          <w:rFonts w:ascii="Arial" w:hAnsi="Arial"/>
          <w:sz w:val="24"/>
          <w:szCs w:val="24"/>
          <w:u w:color="000000"/>
        </w:rPr>
        <w:t>annata silvana 2025/2026.”</w:t>
      </w:r>
    </w:p>
    <w:p w14:paraId="363A31DA" w14:textId="77777777" w:rsidR="00D01ADF" w:rsidRDefault="00000000">
      <w:pPr>
        <w:pStyle w:val="Corpo"/>
        <w:tabs>
          <w:tab w:val="left" w:pos="900"/>
        </w:tabs>
        <w:spacing w:after="210" w:line="360" w:lineRule="auto"/>
        <w:jc w:val="both"/>
        <w:rPr>
          <w:rFonts w:ascii="Arial" w:eastAsia="Arial" w:hAnsi="Arial" w:cs="Arial"/>
          <w:sz w:val="24"/>
          <w:szCs w:val="24"/>
          <w:u w:color="000000"/>
        </w:rPr>
      </w:pPr>
      <w:r>
        <w:rPr>
          <w:rFonts w:ascii="Arial" w:hAnsi="Arial"/>
          <w:b/>
          <w:bCs/>
          <w:sz w:val="24"/>
          <w:szCs w:val="24"/>
          <w:u w:color="000000"/>
        </w:rPr>
        <w:t>Ore aggiuntive e costo presunto:</w:t>
      </w:r>
    </w:p>
    <w:p w14:paraId="71974153" w14:textId="77777777" w:rsidR="00D01ADF" w:rsidRDefault="00000000">
      <w:pPr>
        <w:pStyle w:val="Corpo"/>
        <w:numPr>
          <w:ilvl w:val="1"/>
          <w:numId w:val="6"/>
        </w:numPr>
        <w:spacing w:before="105" w:after="105" w:line="360" w:lineRule="auto"/>
        <w:jc w:val="both"/>
        <w:rPr>
          <w:rFonts w:ascii="Arial" w:hAnsi="Arial"/>
          <w:sz w:val="24"/>
          <w:szCs w:val="24"/>
          <w:u w:color="000000"/>
        </w:rPr>
      </w:pPr>
      <w:r>
        <w:rPr>
          <w:rFonts w:ascii="Arial" w:hAnsi="Arial"/>
          <w:sz w:val="24"/>
          <w:szCs w:val="24"/>
          <w:u w:color="000000"/>
        </w:rPr>
        <w:t>7 giorni/mese × 4 ore/giorno × 4 mesi = 112 ore per ciascun vigile part-time, per un totale di circa 230 ore complessive.</w:t>
      </w:r>
    </w:p>
    <w:p w14:paraId="52B1F1C8" w14:textId="77777777" w:rsidR="00D01ADF" w:rsidRDefault="00000000">
      <w:pPr>
        <w:pStyle w:val="Corpo"/>
        <w:numPr>
          <w:ilvl w:val="1"/>
          <w:numId w:val="6"/>
        </w:numPr>
        <w:spacing w:before="105" w:after="105" w:line="360" w:lineRule="auto"/>
        <w:jc w:val="both"/>
        <w:rPr>
          <w:rFonts w:ascii="Arial" w:hAnsi="Arial"/>
          <w:sz w:val="24"/>
          <w:szCs w:val="24"/>
          <w:u w:color="000000"/>
        </w:rPr>
      </w:pPr>
      <w:r>
        <w:rPr>
          <w:rFonts w:ascii="Arial" w:hAnsi="Arial"/>
          <w:sz w:val="24"/>
          <w:szCs w:val="24"/>
          <w:u w:color="000000"/>
        </w:rPr>
        <w:t>Costo stimato ore straordinarie: 230 ore × 15 euro/ora netti = euro 3.450,00 netti complessivi, oltre eventuali oneri contributivi e riflessi a carico dell’Ente, da quantificarsi in sede di imputazione contabile.</w:t>
      </w:r>
    </w:p>
    <w:p w14:paraId="0F955D67" w14:textId="77777777" w:rsidR="00D01ADF" w:rsidRDefault="00000000">
      <w:pPr>
        <w:pStyle w:val="Corpo"/>
        <w:numPr>
          <w:ilvl w:val="0"/>
          <w:numId w:val="8"/>
        </w:numPr>
        <w:spacing w:before="105" w:after="105" w:line="360" w:lineRule="auto"/>
        <w:jc w:val="both"/>
        <w:rPr>
          <w:rFonts w:ascii="Arial" w:hAnsi="Arial"/>
          <w:sz w:val="24"/>
          <w:szCs w:val="24"/>
          <w:u w:color="000000"/>
        </w:rPr>
      </w:pPr>
      <w:r>
        <w:rPr>
          <w:rFonts w:ascii="Arial" w:hAnsi="Arial"/>
          <w:sz w:val="24"/>
          <w:szCs w:val="24"/>
          <w:u w:color="000000"/>
        </w:rPr>
        <w:t xml:space="preserve">Il costo delle ore aggiuntive di lavoro straordinario previste per i n. 2 vigili part-time, quantificato in euro 3.450,00 netti oltre oneri a carico </w:t>
      </w:r>
      <w:proofErr w:type="spellStart"/>
      <w:r>
        <w:rPr>
          <w:rFonts w:ascii="Arial" w:hAnsi="Arial"/>
          <w:sz w:val="24"/>
          <w:szCs w:val="24"/>
          <w:u w:color="000000"/>
        </w:rPr>
        <w:t>dell</w:t>
      </w:r>
      <w:proofErr w:type="spellEnd"/>
      <w:r>
        <w:rPr>
          <w:rFonts w:ascii="Arial" w:hAnsi="Arial"/>
          <w:sz w:val="24"/>
          <w:szCs w:val="24"/>
          <w:u w:color="000000"/>
          <w:rtl/>
        </w:rPr>
        <w:t>’</w:t>
      </w:r>
      <w:r>
        <w:rPr>
          <w:rFonts w:ascii="Arial" w:hAnsi="Arial"/>
          <w:sz w:val="24"/>
          <w:szCs w:val="24"/>
          <w:u w:color="000000"/>
        </w:rPr>
        <w:t xml:space="preserve">Ente, sarà interamente coperto mediante gli introiti derivanti </w:t>
      </w:r>
      <w:proofErr w:type="spellStart"/>
      <w:r>
        <w:rPr>
          <w:rFonts w:ascii="Arial" w:hAnsi="Arial"/>
          <w:sz w:val="24"/>
          <w:szCs w:val="24"/>
          <w:u w:color="000000"/>
        </w:rPr>
        <w:t>dall</w:t>
      </w:r>
      <w:proofErr w:type="spellEnd"/>
      <w:r>
        <w:rPr>
          <w:rFonts w:ascii="Arial" w:hAnsi="Arial"/>
          <w:sz w:val="24"/>
          <w:szCs w:val="24"/>
          <w:u w:color="000000"/>
          <w:rtl/>
        </w:rPr>
        <w:t>’</w:t>
      </w:r>
      <w:r>
        <w:rPr>
          <w:rFonts w:ascii="Arial" w:hAnsi="Arial"/>
          <w:sz w:val="24"/>
          <w:szCs w:val="24"/>
          <w:u w:color="000000"/>
        </w:rPr>
        <w:t xml:space="preserve">assegnazione dei lotti boschivi relativi </w:t>
      </w:r>
      <w:proofErr w:type="spellStart"/>
      <w:r>
        <w:rPr>
          <w:rFonts w:ascii="Arial" w:hAnsi="Arial"/>
          <w:sz w:val="24"/>
          <w:szCs w:val="24"/>
          <w:u w:color="000000"/>
        </w:rPr>
        <w:t>all</w:t>
      </w:r>
      <w:proofErr w:type="spellEnd"/>
      <w:r>
        <w:rPr>
          <w:rFonts w:ascii="Arial" w:hAnsi="Arial"/>
          <w:sz w:val="24"/>
          <w:szCs w:val="24"/>
          <w:u w:color="000000"/>
          <w:rtl/>
        </w:rPr>
        <w:t>’</w:t>
      </w:r>
      <w:r>
        <w:rPr>
          <w:rFonts w:ascii="Arial" w:hAnsi="Arial"/>
          <w:sz w:val="24"/>
          <w:szCs w:val="24"/>
          <w:u w:color="000000"/>
        </w:rPr>
        <w:t>annata silvana 2025/2026.”</w:t>
      </w:r>
    </w:p>
    <w:p w14:paraId="702CE06D" w14:textId="77777777" w:rsidR="00D01ADF" w:rsidRDefault="00000000">
      <w:pPr>
        <w:pStyle w:val="Corpo"/>
        <w:spacing w:before="315" w:after="105" w:line="360" w:lineRule="auto"/>
        <w:jc w:val="both"/>
        <w:rPr>
          <w:rFonts w:ascii="Arial" w:eastAsia="Arial" w:hAnsi="Arial" w:cs="Arial"/>
          <w:sz w:val="24"/>
          <w:szCs w:val="24"/>
          <w:u w:color="000000"/>
        </w:rPr>
      </w:pPr>
      <w:bookmarkStart w:id="2" w:name="cronoprogramma_sintetico"/>
      <w:r>
        <w:rPr>
          <w:rFonts w:ascii="Arial" w:hAnsi="Arial"/>
          <w:b/>
          <w:bCs/>
          <w:sz w:val="24"/>
          <w:szCs w:val="24"/>
          <w:u w:color="000000"/>
        </w:rPr>
        <w:t>Cronoprogramma sintetico</w:t>
      </w:r>
      <w:bookmarkEnd w:id="2"/>
    </w:p>
    <w:p w14:paraId="04AAB5A7" w14:textId="77777777" w:rsidR="00D01ADF" w:rsidRDefault="00000000">
      <w:pPr>
        <w:pStyle w:val="Corpo"/>
        <w:numPr>
          <w:ilvl w:val="0"/>
          <w:numId w:val="10"/>
        </w:numPr>
        <w:spacing w:before="105" w:after="105" w:line="360" w:lineRule="auto"/>
        <w:jc w:val="both"/>
        <w:rPr>
          <w:rFonts w:ascii="Arial" w:hAnsi="Arial"/>
          <w:sz w:val="24"/>
          <w:szCs w:val="24"/>
          <w:u w:color="000000"/>
        </w:rPr>
      </w:pPr>
      <w:r>
        <w:rPr>
          <w:rFonts w:ascii="Arial" w:hAnsi="Arial"/>
          <w:sz w:val="24"/>
          <w:szCs w:val="24"/>
          <w:u w:color="000000"/>
        </w:rPr>
        <w:t>Gennaio – febbraio 2026: delimitazione e catalogazione lotti, in parte concomitante con la predisposizione e approvazione del bando di assegnazione, in conformità alla normativa sugli usi civici e al Regolamento comunale</w:t>
      </w:r>
    </w:p>
    <w:p w14:paraId="24078B7B" w14:textId="77777777" w:rsidR="00D01ADF" w:rsidRDefault="00000000">
      <w:pPr>
        <w:pStyle w:val="Corpo"/>
        <w:numPr>
          <w:ilvl w:val="0"/>
          <w:numId w:val="10"/>
        </w:numPr>
        <w:spacing w:before="105" w:after="105" w:line="360" w:lineRule="auto"/>
        <w:jc w:val="both"/>
        <w:rPr>
          <w:rFonts w:ascii="Arial" w:hAnsi="Arial"/>
          <w:sz w:val="24"/>
          <w:szCs w:val="24"/>
          <w:u w:color="000000"/>
        </w:rPr>
      </w:pPr>
      <w:r>
        <w:rPr>
          <w:rFonts w:ascii="Arial" w:hAnsi="Arial"/>
          <w:sz w:val="24"/>
          <w:szCs w:val="24"/>
          <w:u w:color="000000"/>
        </w:rPr>
        <w:t>Febbraio 2026: raccolta domande, istruttoria, graduatoria e consegna lotti agli aventi diritto, nel rispetto del Piano di Valorizzazione delle terre civiche</w:t>
      </w:r>
    </w:p>
    <w:p w14:paraId="507EAFEB" w14:textId="77777777" w:rsidR="00D01ADF" w:rsidRDefault="00000000">
      <w:pPr>
        <w:pStyle w:val="Corpo"/>
        <w:numPr>
          <w:ilvl w:val="0"/>
          <w:numId w:val="10"/>
        </w:numPr>
        <w:spacing w:before="105" w:after="105" w:line="360" w:lineRule="auto"/>
        <w:jc w:val="both"/>
        <w:rPr>
          <w:rFonts w:ascii="Arial" w:hAnsi="Arial"/>
          <w:sz w:val="24"/>
          <w:szCs w:val="24"/>
          <w:u w:color="000000"/>
        </w:rPr>
      </w:pPr>
      <w:r>
        <w:rPr>
          <w:rFonts w:ascii="Arial" w:hAnsi="Arial"/>
          <w:sz w:val="24"/>
          <w:szCs w:val="24"/>
          <w:u w:color="000000"/>
        </w:rPr>
        <w:t>Marzo – 15 aprile 2026: esecuzione dei tagli e dell’asporto, con controlli periodici da parte del personale di vigilanza e verifica del rispetto del termine perentorio del 15 aprile per la conclusione delle operazioni.</w:t>
      </w:r>
    </w:p>
    <w:sectPr w:rsidR="00D01ADF">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36327" w14:textId="77777777" w:rsidR="004A088D" w:rsidRDefault="004A088D">
      <w:r>
        <w:separator/>
      </w:r>
    </w:p>
  </w:endnote>
  <w:endnote w:type="continuationSeparator" w:id="0">
    <w:p w14:paraId="60F1C6CE" w14:textId="77777777" w:rsidR="004A088D" w:rsidRDefault="004A0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8022A" w14:textId="77777777" w:rsidR="00D01ADF" w:rsidRDefault="00D01A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60DD4" w14:textId="77777777" w:rsidR="004A088D" w:rsidRDefault="004A088D">
      <w:r>
        <w:separator/>
      </w:r>
    </w:p>
  </w:footnote>
  <w:footnote w:type="continuationSeparator" w:id="0">
    <w:p w14:paraId="017FED5E" w14:textId="77777777" w:rsidR="004A088D" w:rsidRDefault="004A0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09646" w14:textId="77777777" w:rsidR="00D01ADF" w:rsidRDefault="00D01A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20.4pt;height:20.4pt;visibility:visible" o:bullet="t">
        <v:imagedata r:id="rId1" o:title="bullet_circle-blk-resize"/>
      </v:shape>
    </w:pict>
  </w:numPicBullet>
  <w:numPicBullet w:numPicBulletId="1">
    <w:pict>
      <v:shape id="_x0000_i1038" type="#_x0000_t75" style="width:79.8pt;height:79.8pt;visibility:visible" o:bullet="t">
        <v:imagedata r:id="rId2" o:title="bullet_gbutton_gray"/>
      </v:shape>
    </w:pict>
  </w:numPicBullet>
  <w:abstractNum w:abstractNumId="0" w15:restartNumberingAfterBreak="0">
    <w:nsid w:val="033401DF"/>
    <w:multiLevelType w:val="hybridMultilevel"/>
    <w:tmpl w:val="F8208F40"/>
    <w:styleLink w:val="Numerato"/>
    <w:lvl w:ilvl="0" w:tplc="EB9C3DBC">
      <w:start w:val="1"/>
      <w:numFmt w:val="decimal"/>
      <w:lvlText w:val="%1."/>
      <w:lvlJc w:val="left"/>
      <w:pPr>
        <w:tabs>
          <w:tab w:val="left" w:pos="1440"/>
        </w:tabs>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AAB0D5EE">
      <w:start w:val="1"/>
      <w:numFmt w:val="decimal"/>
      <w:lvlText w:val="%2."/>
      <w:lvlJc w:val="left"/>
      <w:pPr>
        <w:tabs>
          <w:tab w:val="left" w:pos="14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9B48C4B4">
      <w:start w:val="1"/>
      <w:numFmt w:val="decimal"/>
      <w:lvlText w:val="%3."/>
      <w:lvlJc w:val="left"/>
      <w:pPr>
        <w:tabs>
          <w:tab w:val="left" w:pos="14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CE30B65E">
      <w:start w:val="1"/>
      <w:numFmt w:val="decimal"/>
      <w:lvlText w:val="%4."/>
      <w:lvlJc w:val="left"/>
      <w:pPr>
        <w:tabs>
          <w:tab w:val="left" w:pos="14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AB96149A">
      <w:start w:val="1"/>
      <w:numFmt w:val="decimal"/>
      <w:lvlText w:val="%5."/>
      <w:lvlJc w:val="left"/>
      <w:pPr>
        <w:tabs>
          <w:tab w:val="left" w:pos="14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9C5C111C">
      <w:start w:val="1"/>
      <w:numFmt w:val="decimal"/>
      <w:lvlText w:val="%6."/>
      <w:lvlJc w:val="left"/>
      <w:pPr>
        <w:tabs>
          <w:tab w:val="left" w:pos="14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C960DD28">
      <w:start w:val="1"/>
      <w:numFmt w:val="decimal"/>
      <w:lvlText w:val="%7."/>
      <w:lvlJc w:val="left"/>
      <w:pPr>
        <w:tabs>
          <w:tab w:val="left" w:pos="14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FC7E347A">
      <w:start w:val="1"/>
      <w:numFmt w:val="decimal"/>
      <w:lvlText w:val="%8."/>
      <w:lvlJc w:val="left"/>
      <w:pPr>
        <w:tabs>
          <w:tab w:val="left" w:pos="14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8A8A6726">
      <w:start w:val="1"/>
      <w:numFmt w:val="decimal"/>
      <w:lvlText w:val="%9."/>
      <w:lvlJc w:val="left"/>
      <w:pPr>
        <w:tabs>
          <w:tab w:val="left" w:pos="14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1F06378"/>
    <w:multiLevelType w:val="hybridMultilevel"/>
    <w:tmpl w:val="5E3CB038"/>
    <w:styleLink w:val="Immagine"/>
    <w:lvl w:ilvl="0" w:tplc="F3521BC4">
      <w:start w:val="1"/>
      <w:numFmt w:val="bullet"/>
      <w:lvlText w:val="•"/>
      <w:lvlPicBulletId w:val="1"/>
      <w:lvlJc w:val="left"/>
      <w:pPr>
        <w:tabs>
          <w:tab w:val="left" w:pos="1440"/>
        </w:tabs>
        <w:ind w:left="1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1" w:tplc="863E6912">
      <w:start w:val="1"/>
      <w:numFmt w:val="bullet"/>
      <w:lvlText w:val="•"/>
      <w:lvlPicBulletId w:val="1"/>
      <w:lvlJc w:val="left"/>
      <w:pPr>
        <w:tabs>
          <w:tab w:val="left" w:pos="1440"/>
        </w:tabs>
        <w:ind w:left="7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2" w:tplc="39B43702">
      <w:start w:val="1"/>
      <w:numFmt w:val="bullet"/>
      <w:lvlText w:val="•"/>
      <w:lvlPicBulletId w:val="1"/>
      <w:lvlJc w:val="left"/>
      <w:pPr>
        <w:tabs>
          <w:tab w:val="left" w:pos="1440"/>
        </w:tabs>
        <w:ind w:left="13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3" w:tplc="C254B87C">
      <w:start w:val="1"/>
      <w:numFmt w:val="bullet"/>
      <w:lvlText w:val="•"/>
      <w:lvlPicBulletId w:val="1"/>
      <w:lvlJc w:val="left"/>
      <w:pPr>
        <w:tabs>
          <w:tab w:val="left" w:pos="1440"/>
        </w:tabs>
        <w:ind w:left="19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4" w:tplc="F1BA1C86">
      <w:start w:val="1"/>
      <w:numFmt w:val="bullet"/>
      <w:lvlText w:val="•"/>
      <w:lvlPicBulletId w:val="1"/>
      <w:lvlJc w:val="left"/>
      <w:pPr>
        <w:tabs>
          <w:tab w:val="left" w:pos="1440"/>
        </w:tabs>
        <w:ind w:left="25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5" w:tplc="C8284100">
      <w:start w:val="1"/>
      <w:numFmt w:val="bullet"/>
      <w:lvlText w:val="•"/>
      <w:lvlPicBulletId w:val="1"/>
      <w:lvlJc w:val="left"/>
      <w:pPr>
        <w:tabs>
          <w:tab w:val="left" w:pos="1440"/>
        </w:tabs>
        <w:ind w:left="31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6" w:tplc="F0D84784">
      <w:start w:val="1"/>
      <w:numFmt w:val="bullet"/>
      <w:lvlText w:val="•"/>
      <w:lvlPicBulletId w:val="1"/>
      <w:lvlJc w:val="left"/>
      <w:pPr>
        <w:tabs>
          <w:tab w:val="left" w:pos="1440"/>
        </w:tabs>
        <w:ind w:left="37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7" w:tplc="F378F570">
      <w:start w:val="1"/>
      <w:numFmt w:val="bullet"/>
      <w:lvlText w:val="•"/>
      <w:lvlPicBulletId w:val="1"/>
      <w:lvlJc w:val="left"/>
      <w:pPr>
        <w:tabs>
          <w:tab w:val="left" w:pos="1440"/>
        </w:tabs>
        <w:ind w:left="43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8" w:tplc="8FDC966A">
      <w:start w:val="1"/>
      <w:numFmt w:val="bullet"/>
      <w:lvlText w:val="•"/>
      <w:lvlPicBulletId w:val="1"/>
      <w:lvlJc w:val="left"/>
      <w:pPr>
        <w:tabs>
          <w:tab w:val="left" w:pos="1440"/>
        </w:tabs>
        <w:ind w:left="49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abstractNum>
  <w:abstractNum w:abstractNumId="2" w15:restartNumberingAfterBreak="0">
    <w:nsid w:val="2C8D5E0E"/>
    <w:multiLevelType w:val="hybridMultilevel"/>
    <w:tmpl w:val="EF6491E8"/>
    <w:styleLink w:val="Stileimportato1"/>
    <w:lvl w:ilvl="0" w:tplc="0EA88FA4">
      <w:start w:val="1"/>
      <w:numFmt w:val="bullet"/>
      <w:lvlText w:val="·"/>
      <w:lvlJc w:val="left"/>
      <w:pPr>
        <w:tabs>
          <w:tab w:val="left" w:pos="1440"/>
        </w:tabs>
        <w:ind w:left="591" w:hanging="4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6C60F7E">
      <w:start w:val="1"/>
      <w:numFmt w:val="bullet"/>
      <w:lvlText w:val="o"/>
      <w:lvlJc w:val="left"/>
      <w:pPr>
        <w:tabs>
          <w:tab w:val="left" w:pos="1440"/>
        </w:tabs>
        <w:ind w:left="10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93DCFDAA">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7E01BDA">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F26EE912">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10726AE6">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5514378E">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9D067352">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D6EF0AC">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CCA4A24"/>
    <w:multiLevelType w:val="hybridMultilevel"/>
    <w:tmpl w:val="EA3C8B9E"/>
    <w:numStyleLink w:val="Stileimportato3"/>
  </w:abstractNum>
  <w:abstractNum w:abstractNumId="4" w15:restartNumberingAfterBreak="0">
    <w:nsid w:val="49FE5CD7"/>
    <w:multiLevelType w:val="hybridMultilevel"/>
    <w:tmpl w:val="EA3C8B9E"/>
    <w:styleLink w:val="Stileimportato3"/>
    <w:lvl w:ilvl="0" w:tplc="C518A4DA">
      <w:start w:val="1"/>
      <w:numFmt w:val="bullet"/>
      <w:lvlText w:val="·"/>
      <w:lvlJc w:val="left"/>
      <w:pPr>
        <w:tabs>
          <w:tab w:val="left" w:pos="1440"/>
        </w:tabs>
        <w:ind w:left="591" w:hanging="4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1EE79C8">
      <w:start w:val="1"/>
      <w:numFmt w:val="bullet"/>
      <w:lvlText w:val="o"/>
      <w:lvlJc w:val="left"/>
      <w:pPr>
        <w:tabs>
          <w:tab w:val="left" w:pos="1440"/>
        </w:tabs>
        <w:ind w:left="10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85FA6D5E">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5016DFAC">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566828AA">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F904022">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C38AFAEA">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AC2ECDC8">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FF3640B0">
      <w:start w:val="1"/>
      <w:numFmt w:val="bullet"/>
      <w:lvlText w:val="o"/>
      <w:lvlJc w:val="left"/>
      <w:pPr>
        <w:tabs>
          <w:tab w:val="left" w:pos="1440"/>
        </w:tabs>
        <w:ind w:left="1131" w:hanging="411"/>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DD21E1A"/>
    <w:multiLevelType w:val="hybridMultilevel"/>
    <w:tmpl w:val="F8208F40"/>
    <w:numStyleLink w:val="Numerato"/>
  </w:abstractNum>
  <w:abstractNum w:abstractNumId="6" w15:restartNumberingAfterBreak="0">
    <w:nsid w:val="61D878A3"/>
    <w:multiLevelType w:val="hybridMultilevel"/>
    <w:tmpl w:val="EF6491E8"/>
    <w:numStyleLink w:val="Stileimportato1"/>
  </w:abstractNum>
  <w:abstractNum w:abstractNumId="7" w15:restartNumberingAfterBreak="0">
    <w:nsid w:val="67834D61"/>
    <w:multiLevelType w:val="hybridMultilevel"/>
    <w:tmpl w:val="8FDA2784"/>
    <w:numStyleLink w:val="Stileimportato4"/>
  </w:abstractNum>
  <w:abstractNum w:abstractNumId="8" w15:restartNumberingAfterBreak="0">
    <w:nsid w:val="69BC316E"/>
    <w:multiLevelType w:val="hybridMultilevel"/>
    <w:tmpl w:val="5E3CB038"/>
    <w:numStyleLink w:val="Immagine"/>
  </w:abstractNum>
  <w:abstractNum w:abstractNumId="9" w15:restartNumberingAfterBreak="0">
    <w:nsid w:val="76B95D4B"/>
    <w:multiLevelType w:val="hybridMultilevel"/>
    <w:tmpl w:val="8FDA2784"/>
    <w:styleLink w:val="Stileimportato4"/>
    <w:lvl w:ilvl="0" w:tplc="45AE70B2">
      <w:start w:val="1"/>
      <w:numFmt w:val="bullet"/>
      <w:lvlText w:val="·"/>
      <w:lvlJc w:val="left"/>
      <w:pPr>
        <w:tabs>
          <w:tab w:val="left" w:pos="900"/>
        </w:tabs>
        <w:ind w:left="5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116EA8C">
      <w:start w:val="1"/>
      <w:numFmt w:val="bullet"/>
      <w:lvlText w:val="·"/>
      <w:lvlJc w:val="left"/>
      <w:pPr>
        <w:tabs>
          <w:tab w:val="left" w:pos="900"/>
        </w:tabs>
        <w:ind w:left="591" w:hanging="4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8520894E">
      <w:start w:val="1"/>
      <w:numFmt w:val="bullet"/>
      <w:lvlText w:val="·"/>
      <w:lvlJc w:val="left"/>
      <w:pPr>
        <w:tabs>
          <w:tab w:val="left" w:pos="900"/>
        </w:tabs>
        <w:ind w:left="591" w:hanging="4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12709B64">
      <w:start w:val="1"/>
      <w:numFmt w:val="bullet"/>
      <w:lvlText w:val="·"/>
      <w:lvlJc w:val="left"/>
      <w:pPr>
        <w:tabs>
          <w:tab w:val="left" w:pos="900"/>
        </w:tabs>
        <w:ind w:left="591" w:hanging="4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1C06C1E">
      <w:start w:val="1"/>
      <w:numFmt w:val="bullet"/>
      <w:lvlText w:val="·"/>
      <w:lvlJc w:val="left"/>
      <w:pPr>
        <w:tabs>
          <w:tab w:val="left" w:pos="900"/>
        </w:tabs>
        <w:ind w:left="591" w:hanging="4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30741C5A">
      <w:start w:val="1"/>
      <w:numFmt w:val="bullet"/>
      <w:lvlText w:val="·"/>
      <w:lvlJc w:val="left"/>
      <w:pPr>
        <w:tabs>
          <w:tab w:val="left" w:pos="900"/>
        </w:tabs>
        <w:ind w:left="591" w:hanging="4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0546873E">
      <w:start w:val="1"/>
      <w:numFmt w:val="bullet"/>
      <w:lvlText w:val="·"/>
      <w:lvlJc w:val="left"/>
      <w:pPr>
        <w:tabs>
          <w:tab w:val="left" w:pos="900"/>
        </w:tabs>
        <w:ind w:left="591" w:hanging="4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D7A8CC2">
      <w:start w:val="1"/>
      <w:numFmt w:val="bullet"/>
      <w:lvlText w:val="·"/>
      <w:lvlJc w:val="left"/>
      <w:pPr>
        <w:tabs>
          <w:tab w:val="left" w:pos="900"/>
        </w:tabs>
        <w:ind w:left="591" w:hanging="4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8252F2F2">
      <w:start w:val="1"/>
      <w:numFmt w:val="bullet"/>
      <w:lvlText w:val="·"/>
      <w:lvlJc w:val="left"/>
      <w:pPr>
        <w:tabs>
          <w:tab w:val="left" w:pos="900"/>
        </w:tabs>
        <w:ind w:left="591" w:hanging="4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990672333">
    <w:abstractNumId w:val="2"/>
  </w:num>
  <w:num w:numId="2" w16cid:durableId="1592813923">
    <w:abstractNumId w:val="6"/>
  </w:num>
  <w:num w:numId="3" w16cid:durableId="958072107">
    <w:abstractNumId w:val="0"/>
  </w:num>
  <w:num w:numId="4" w16cid:durableId="1840189313">
    <w:abstractNumId w:val="5"/>
  </w:num>
  <w:num w:numId="5" w16cid:durableId="2059892637">
    <w:abstractNumId w:val="4"/>
  </w:num>
  <w:num w:numId="6" w16cid:durableId="1165633747">
    <w:abstractNumId w:val="3"/>
  </w:num>
  <w:num w:numId="7" w16cid:durableId="1376812821">
    <w:abstractNumId w:val="1"/>
  </w:num>
  <w:num w:numId="8" w16cid:durableId="566652592">
    <w:abstractNumId w:val="8"/>
  </w:num>
  <w:num w:numId="9" w16cid:durableId="1033966022">
    <w:abstractNumId w:val="9"/>
  </w:num>
  <w:num w:numId="10" w16cid:durableId="14873584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ADF"/>
    <w:rsid w:val="00320B99"/>
    <w:rsid w:val="004A088D"/>
    <w:rsid w:val="00D01ADF"/>
    <w:rsid w:val="00E137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1AFDB"/>
  <w15:docId w15:val="{844027CE-3F7F-40EB-A306-97F297BA0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orpo">
    <w:name w:val="Corpo"/>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Stileimportato1">
    <w:name w:val="Stile importato 1"/>
    <w:pPr>
      <w:numPr>
        <w:numId w:val="1"/>
      </w:numPr>
    </w:pPr>
  </w:style>
  <w:style w:type="numbering" w:customStyle="1" w:styleId="Numerato">
    <w:name w:val="Numerato"/>
    <w:pPr>
      <w:numPr>
        <w:numId w:val="3"/>
      </w:numPr>
    </w:pPr>
  </w:style>
  <w:style w:type="numbering" w:customStyle="1" w:styleId="Stileimportato3">
    <w:name w:val="Stile importato 3"/>
    <w:pPr>
      <w:numPr>
        <w:numId w:val="5"/>
      </w:numPr>
    </w:pPr>
  </w:style>
  <w:style w:type="numbering" w:customStyle="1" w:styleId="Immagine">
    <w:name w:val="Immagine"/>
    <w:pPr>
      <w:numPr>
        <w:numId w:val="7"/>
      </w:numPr>
    </w:pPr>
  </w:style>
  <w:style w:type="numbering" w:customStyle="1" w:styleId="Stileimportato4">
    <w:name w:val="Stile importato 4"/>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729</Words>
  <Characters>4158</Characters>
  <Application>Microsoft Office Word</Application>
  <DocSecurity>0</DocSecurity>
  <Lines>34</Lines>
  <Paragraphs>9</Paragraphs>
  <ScaleCrop>false</ScaleCrop>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Potenziani</dc:creator>
  <cp:lastModifiedBy>Fabio Potenziani</cp:lastModifiedBy>
  <cp:revision>2</cp:revision>
  <dcterms:created xsi:type="dcterms:W3CDTF">2026-01-14T14:41:00Z</dcterms:created>
  <dcterms:modified xsi:type="dcterms:W3CDTF">2026-01-14T14:41:00Z</dcterms:modified>
</cp:coreProperties>
</file>